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41E3D" w:rsidRPr="007B32BD" w14:paraId="78A6F489" w14:textId="77777777" w:rsidTr="00D14A49">
        <w:tc>
          <w:tcPr>
            <w:tcW w:w="10491" w:type="dxa"/>
            <w:tcBorders>
              <w:bottom w:val="single" w:sz="4" w:space="0" w:color="auto"/>
            </w:tcBorders>
          </w:tcPr>
          <w:p w14:paraId="521CAF29" w14:textId="4FB9A9B7" w:rsidR="00841E3D" w:rsidRPr="00E34BC0" w:rsidRDefault="00841E3D" w:rsidP="00E34BC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34BC0">
              <w:rPr>
                <w:b/>
                <w:sz w:val="22"/>
                <w:szCs w:val="22"/>
              </w:rPr>
              <w:t>Pre-notice for the forthcoming Call for Applications</w:t>
            </w:r>
          </w:p>
          <w:p w14:paraId="20B0B596" w14:textId="77777777" w:rsidR="00E34BC0" w:rsidRPr="00E34BC0" w:rsidRDefault="00E34BC0" w:rsidP="00E34BC0">
            <w:pPr>
              <w:rPr>
                <w:b/>
                <w:sz w:val="22"/>
                <w:szCs w:val="22"/>
              </w:rPr>
            </w:pPr>
          </w:p>
          <w:p w14:paraId="31788C31" w14:textId="77777777" w:rsidR="00841E3D" w:rsidRPr="00E34BC0" w:rsidRDefault="00841E3D" w:rsidP="00E34BC0">
            <w:pPr>
              <w:rPr>
                <w:sz w:val="18"/>
                <w:szCs w:val="18"/>
                <w:u w:val="single"/>
              </w:rPr>
            </w:pPr>
            <w:r w:rsidRPr="00E34BC0">
              <w:rPr>
                <w:b/>
                <w:sz w:val="22"/>
                <w:szCs w:val="22"/>
              </w:rPr>
              <w:t xml:space="preserve">(Round XIII of the Young Cell Scheme Post-Graduate EU Scholarship </w:t>
            </w:r>
            <w:proofErr w:type="spellStart"/>
            <w:r w:rsidRPr="00E34BC0">
              <w:rPr>
                <w:b/>
                <w:sz w:val="22"/>
                <w:szCs w:val="22"/>
              </w:rPr>
              <w:t>Programme</w:t>
            </w:r>
            <w:proofErr w:type="spellEnd"/>
            <w:r w:rsidRPr="00E34BC0">
              <w:rPr>
                <w:b/>
                <w:sz w:val="22"/>
                <w:szCs w:val="22"/>
              </w:rPr>
              <w:t>)</w:t>
            </w:r>
          </w:p>
        </w:tc>
      </w:tr>
      <w:tr w:rsidR="00841E3D" w:rsidRPr="007B32BD" w14:paraId="2DCCBAC8" w14:textId="77777777" w:rsidTr="00436C09">
        <w:trPr>
          <w:trHeight w:val="6322"/>
        </w:trPr>
        <w:tc>
          <w:tcPr>
            <w:tcW w:w="10491" w:type="dxa"/>
          </w:tcPr>
          <w:p w14:paraId="76415079" w14:textId="77777777" w:rsidR="00841E3D" w:rsidRPr="00E34BC0" w:rsidRDefault="00841E3D" w:rsidP="00E34BC0">
            <w:pPr>
              <w:jc w:val="both"/>
              <w:rPr>
                <w:sz w:val="18"/>
                <w:szCs w:val="18"/>
              </w:rPr>
            </w:pPr>
          </w:p>
          <w:p w14:paraId="38002993" w14:textId="30B6F77D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This is a pre-notice informing about the forthcoming opening of the Call for Applications for the Round XIII of the Young Cell Scheme Post-Graduate EU Scholarship </w:t>
            </w:r>
            <w:proofErr w:type="spellStart"/>
            <w:r w:rsidRPr="00E34BC0">
              <w:rPr>
                <w:sz w:val="20"/>
                <w:szCs w:val="20"/>
              </w:rPr>
              <w:t>Programme</w:t>
            </w:r>
            <w:proofErr w:type="spellEnd"/>
            <w:r w:rsidRPr="00E34BC0">
              <w:rPr>
                <w:sz w:val="20"/>
                <w:szCs w:val="20"/>
              </w:rPr>
              <w:t>. No action is required now from potential applicants.</w:t>
            </w:r>
          </w:p>
          <w:p w14:paraId="7947C557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</w:p>
          <w:p w14:paraId="516A8BBF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The </w:t>
            </w:r>
            <w:r w:rsidRPr="00E34BC0">
              <w:rPr>
                <w:b/>
                <w:sz w:val="20"/>
                <w:szCs w:val="20"/>
              </w:rPr>
              <w:t>European Union Office</w:t>
            </w:r>
            <w:r w:rsidRPr="00E34BC0">
              <w:rPr>
                <w:sz w:val="20"/>
                <w:szCs w:val="20"/>
              </w:rPr>
              <w:t xml:space="preserve"> in Kosovo and the</w:t>
            </w:r>
            <w:r w:rsidRPr="00E34BC0">
              <w:rPr>
                <w:b/>
                <w:sz w:val="20"/>
                <w:szCs w:val="20"/>
              </w:rPr>
              <w:t xml:space="preserve"> Office of the Prime Minister of the Government of Kosovo </w:t>
            </w:r>
            <w:r w:rsidRPr="00E34BC0">
              <w:rPr>
                <w:sz w:val="20"/>
                <w:szCs w:val="20"/>
              </w:rPr>
              <w:t xml:space="preserve">announce the forthcoming opening of the Round XIII of Applications to the Young Cell Scheme, the EU post-graduate scholarship </w:t>
            </w:r>
            <w:proofErr w:type="spellStart"/>
            <w:r w:rsidRPr="00E34BC0">
              <w:rPr>
                <w:sz w:val="20"/>
                <w:szCs w:val="20"/>
              </w:rPr>
              <w:t>programme</w:t>
            </w:r>
            <w:proofErr w:type="spellEnd"/>
            <w:r w:rsidRPr="00E34BC0">
              <w:rPr>
                <w:sz w:val="20"/>
                <w:szCs w:val="20"/>
              </w:rPr>
              <w:t xml:space="preserve"> for Kosovo citizens. Successful applicants will be offered the opportunity to study in a </w:t>
            </w:r>
            <w:r w:rsidRPr="00E34BC0">
              <w:rPr>
                <w:sz w:val="20"/>
                <w:szCs w:val="20"/>
                <w:u w:val="single"/>
              </w:rPr>
              <w:t xml:space="preserve">one- or two-year Master </w:t>
            </w:r>
            <w:proofErr w:type="spellStart"/>
            <w:r w:rsidRPr="00E34BC0">
              <w:rPr>
                <w:sz w:val="20"/>
                <w:szCs w:val="20"/>
                <w:u w:val="single"/>
              </w:rPr>
              <w:t>programme</w:t>
            </w:r>
            <w:proofErr w:type="spellEnd"/>
            <w:r w:rsidRPr="00E34BC0">
              <w:rPr>
                <w:sz w:val="20"/>
                <w:szCs w:val="20"/>
                <w:u w:val="single"/>
              </w:rPr>
              <w:t xml:space="preserve"> </w:t>
            </w:r>
            <w:r w:rsidRPr="00E34BC0">
              <w:rPr>
                <w:sz w:val="20"/>
                <w:szCs w:val="20"/>
              </w:rPr>
              <w:t xml:space="preserve">at a university in an EU Member State. The Scholarship </w:t>
            </w:r>
            <w:proofErr w:type="spellStart"/>
            <w:r w:rsidRPr="00E34BC0">
              <w:rPr>
                <w:sz w:val="20"/>
                <w:szCs w:val="20"/>
              </w:rPr>
              <w:t>Programme’s</w:t>
            </w:r>
            <w:proofErr w:type="spellEnd"/>
            <w:r w:rsidRPr="00E34BC0">
              <w:rPr>
                <w:sz w:val="20"/>
                <w:szCs w:val="20"/>
              </w:rPr>
              <w:t xml:space="preserve"> working language is only English. </w:t>
            </w:r>
          </w:p>
          <w:p w14:paraId="7F800303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</w:p>
          <w:p w14:paraId="6D00881E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This call is open to the general public and to civil servants (further details and rules to be published with the Call for Applications) in the following areas:</w:t>
            </w:r>
          </w:p>
          <w:p w14:paraId="1931D692" w14:textId="5CC33133" w:rsidR="008D7BAE" w:rsidRDefault="008D7BAE" w:rsidP="00A052A3">
            <w:pPr>
              <w:pStyle w:val="m-8700661875963340098msolist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>Law (including EU Law)</w:t>
            </w:r>
          </w:p>
          <w:p w14:paraId="537E537B" w14:textId="0E2AEEE9" w:rsidR="008D7BAE" w:rsidRPr="008D7BAE" w:rsidRDefault="008D7BAE" w:rsidP="00A052A3">
            <w:pPr>
              <w:pStyle w:val="m-8700661875963340098msolist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>Public Administration and Good Governance (including Human Resources Management)</w:t>
            </w:r>
          </w:p>
          <w:p w14:paraId="305565A2" w14:textId="6054BEFB" w:rsidR="008D7BAE" w:rsidRPr="008D7BAE" w:rsidRDefault="008D7BAE" w:rsidP="00A052A3">
            <w:pPr>
              <w:pStyle w:val="m-8700661875963340098msolist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>Economics, Finance, Management (including Public Health Management)</w:t>
            </w:r>
          </w:p>
          <w:p w14:paraId="5728CA6C" w14:textId="2E2F8E08" w:rsidR="008D7BAE" w:rsidRPr="008D7BAE" w:rsidRDefault="008D7BAE" w:rsidP="00A052A3">
            <w:pPr>
              <w:pStyle w:val="m-8700661875963340098msolist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>Energy, Environment and Climate Change, Transport</w:t>
            </w:r>
          </w:p>
          <w:p w14:paraId="52EA7184" w14:textId="7168A37E" w:rsidR="008D7BAE" w:rsidRPr="008D7BAE" w:rsidRDefault="008D7BAE" w:rsidP="00A052A3">
            <w:pPr>
              <w:pStyle w:val="m-8700661875963340098msolist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Relations and Diplomacy (including </w:t>
            </w:r>
            <w:proofErr w:type="spellStart"/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>Defence</w:t>
            </w:r>
            <w:proofErr w:type="spellEnd"/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Security)</w:t>
            </w:r>
          </w:p>
          <w:p w14:paraId="0711BE75" w14:textId="565509C4" w:rsidR="008D7BAE" w:rsidRPr="008D7BAE" w:rsidRDefault="008D7BAE" w:rsidP="00A052A3">
            <w:pPr>
              <w:pStyle w:val="m-8700661875963340098msolist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 w:rsidRPr="008D7BAE">
              <w:rPr>
                <w:rFonts w:ascii="Arial" w:hAnsi="Arial" w:cs="Arial"/>
                <w:sz w:val="20"/>
                <w:szCs w:val="20"/>
                <w:lang w:val="en-US"/>
              </w:rPr>
              <w:t>Other Sectors according to the demand of Kosovo Public Administration</w:t>
            </w:r>
          </w:p>
          <w:p w14:paraId="43918DA1" w14:textId="77777777" w:rsidR="00330342" w:rsidRDefault="00330342" w:rsidP="00E34BC0">
            <w:pPr>
              <w:jc w:val="both"/>
              <w:rPr>
                <w:sz w:val="20"/>
                <w:szCs w:val="20"/>
              </w:rPr>
            </w:pPr>
          </w:p>
          <w:p w14:paraId="76CD024D" w14:textId="4AA553ED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Eligible applicants are:</w:t>
            </w:r>
          </w:p>
          <w:p w14:paraId="31DE4620" w14:textId="28A0EF84" w:rsidR="00841E3D" w:rsidRPr="00E34BC0" w:rsidRDefault="00841E3D" w:rsidP="00E34BC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b/>
                <w:sz w:val="20"/>
                <w:szCs w:val="20"/>
              </w:rPr>
              <w:t>Kosovo citizens</w:t>
            </w:r>
            <w:r w:rsidRPr="00E34BC0">
              <w:rPr>
                <w:sz w:val="20"/>
                <w:szCs w:val="20"/>
              </w:rPr>
              <w:t xml:space="preserve"> with a valid Kosovo passport or ID card issued by Kosovo institutions or with valid proofs of birth and -residency in Kosovo (</w:t>
            </w:r>
            <w:r w:rsidRPr="00E34BC0">
              <w:rPr>
                <w:b/>
                <w:sz w:val="20"/>
                <w:szCs w:val="20"/>
              </w:rPr>
              <w:t>NB: both birth certificate and residence certificate</w:t>
            </w:r>
            <w:r w:rsidRPr="00E34BC0">
              <w:rPr>
                <w:sz w:val="20"/>
                <w:szCs w:val="20"/>
              </w:rPr>
              <w:t xml:space="preserve"> are required where any form of Kosovo ID cannot be provided).</w:t>
            </w:r>
          </w:p>
          <w:p w14:paraId="373500BC" w14:textId="6D4D13E2" w:rsidR="00841E3D" w:rsidRPr="00E34BC0" w:rsidRDefault="00841E3D" w:rsidP="00E34BC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University graduates holding a bachelor degree in one of the areas of study pertaining to the sectors </w:t>
            </w:r>
          </w:p>
          <w:p w14:paraId="0769EE3D" w14:textId="77777777" w:rsidR="00841E3D" w:rsidRPr="00E34BC0" w:rsidRDefault="00841E3D" w:rsidP="00E34BC0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34BC0">
              <w:rPr>
                <w:b/>
                <w:sz w:val="20"/>
                <w:szCs w:val="20"/>
              </w:rPr>
              <w:t>Fluent in English</w:t>
            </w:r>
            <w:r w:rsidRPr="00E34BC0">
              <w:rPr>
                <w:sz w:val="20"/>
                <w:szCs w:val="20"/>
              </w:rPr>
              <w:t xml:space="preserve"> and Albanian or Serbian. </w:t>
            </w:r>
          </w:p>
          <w:p w14:paraId="05E547A5" w14:textId="77777777" w:rsidR="00841E3D" w:rsidRPr="00E34BC0" w:rsidRDefault="00841E3D" w:rsidP="00E34BC0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Born on 1</w:t>
            </w:r>
            <w:r w:rsidRPr="00E34BC0">
              <w:rPr>
                <w:sz w:val="20"/>
                <w:szCs w:val="20"/>
                <w:vertAlign w:val="superscript"/>
              </w:rPr>
              <w:t>st</w:t>
            </w:r>
            <w:r w:rsidRPr="00E34BC0">
              <w:rPr>
                <w:sz w:val="20"/>
                <w:szCs w:val="20"/>
              </w:rPr>
              <w:t xml:space="preserve"> January 1988 or later.</w:t>
            </w:r>
          </w:p>
          <w:p w14:paraId="47FA423C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Scholarships will cover the following costs:</w:t>
            </w:r>
          </w:p>
          <w:p w14:paraId="66CBC199" w14:textId="77777777" w:rsidR="00841E3D" w:rsidRPr="00E34BC0" w:rsidRDefault="00841E3D" w:rsidP="00E34BC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application costs and tuition fees</w:t>
            </w:r>
          </w:p>
          <w:p w14:paraId="31CF0790" w14:textId="77777777" w:rsidR="00841E3D" w:rsidRPr="00E34BC0" w:rsidRDefault="00841E3D" w:rsidP="00E34BC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living allowances</w:t>
            </w:r>
          </w:p>
          <w:p w14:paraId="6E61F840" w14:textId="77777777" w:rsidR="00841E3D" w:rsidRPr="00E34BC0" w:rsidRDefault="00841E3D" w:rsidP="00E34BC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visa costs &amp; health insurance</w:t>
            </w:r>
          </w:p>
          <w:p w14:paraId="3F7DA064" w14:textId="77777777" w:rsidR="00841E3D" w:rsidRPr="00E34BC0" w:rsidRDefault="00841E3D" w:rsidP="00E34BC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one return flight ticket</w:t>
            </w:r>
          </w:p>
          <w:p w14:paraId="517F00F5" w14:textId="77777777" w:rsidR="00841E3D" w:rsidRPr="00E34BC0" w:rsidRDefault="00841E3D" w:rsidP="00E34BC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English preparatory language training for- and cost of IELTS English test (in case the studies are to be under in another EU language, other required language tests could also be reimbursed)</w:t>
            </w:r>
          </w:p>
          <w:p w14:paraId="10548EAC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Selected participants will commit to:</w:t>
            </w:r>
          </w:p>
          <w:p w14:paraId="16F223E5" w14:textId="77777777" w:rsidR="00841E3D" w:rsidRPr="00E34BC0" w:rsidRDefault="00841E3D" w:rsidP="00E34BC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Be available to undergo training/internship from February 2023 onwards and to move abroad from August 2023 until the end of the estimated completion of studies. </w:t>
            </w:r>
          </w:p>
          <w:p w14:paraId="6257BFA3" w14:textId="77777777" w:rsidR="00841E3D" w:rsidRPr="00E34BC0" w:rsidRDefault="00841E3D" w:rsidP="00E34BC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Work for the Kosovo Public Administration as an intern for 4 months before departure (with the exception of civil servants already employed in the public administration of Kosovo).</w:t>
            </w:r>
          </w:p>
          <w:p w14:paraId="5B5FB9F0" w14:textId="77777777" w:rsidR="00841E3D" w:rsidRPr="00E34BC0" w:rsidRDefault="00841E3D" w:rsidP="00E34BC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Follow the YCS language training </w:t>
            </w:r>
            <w:proofErr w:type="spellStart"/>
            <w:r w:rsidRPr="00E34BC0">
              <w:rPr>
                <w:sz w:val="20"/>
                <w:szCs w:val="20"/>
              </w:rPr>
              <w:t>programme</w:t>
            </w:r>
            <w:proofErr w:type="spellEnd"/>
            <w:r w:rsidRPr="00E34BC0">
              <w:rPr>
                <w:sz w:val="20"/>
                <w:szCs w:val="20"/>
              </w:rPr>
              <w:t xml:space="preserve"> (where needed).</w:t>
            </w:r>
          </w:p>
          <w:p w14:paraId="026D1158" w14:textId="77777777" w:rsidR="00841E3D" w:rsidRPr="00E34BC0" w:rsidRDefault="00841E3D" w:rsidP="00E34BC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Attend and complete their chosen post-graduate studies.</w:t>
            </w:r>
          </w:p>
          <w:p w14:paraId="2D3F18B0" w14:textId="6974B039" w:rsidR="00841E3D" w:rsidRDefault="00841E3D" w:rsidP="00E34BC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Complete three (3) consecutive years of employment or re-employment (if civil servants) in the public administration of Kosovo (including employment in municipalities and local government) upon their return.</w:t>
            </w:r>
          </w:p>
          <w:p w14:paraId="68A2E8DC" w14:textId="55AE5F60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Selections will be carried out in three stages and they include:</w:t>
            </w:r>
          </w:p>
          <w:p w14:paraId="4CCC375B" w14:textId="77777777" w:rsidR="00841E3D" w:rsidRPr="00E34BC0" w:rsidRDefault="00841E3D" w:rsidP="00E34BC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Pre-selection based on the administrative and eligibility criteria.</w:t>
            </w:r>
          </w:p>
          <w:p w14:paraId="51748C6D" w14:textId="77777777" w:rsidR="00841E3D" w:rsidRPr="00E34BC0" w:rsidRDefault="00841E3D" w:rsidP="00E34BC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>Written tests (English knowledge, General Knowledge of civil service and/or of sector knowledge and Verbal &amp; Numerical Reasoning).</w:t>
            </w:r>
          </w:p>
          <w:p w14:paraId="40C2D480" w14:textId="3F5C46F4" w:rsidR="00841E3D" w:rsidRPr="00E34BC0" w:rsidRDefault="00841E3D" w:rsidP="00E34BC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lastRenderedPageBreak/>
              <w:t xml:space="preserve">Interviews by a panel composed of academics from selected EU universities. EUO and GoK representatives will sit the panel as observers. </w:t>
            </w:r>
          </w:p>
          <w:p w14:paraId="0D5F1ABB" w14:textId="3326DE19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The whole selection procedure will be implemented in accordance with the Regulation (MPA) No.  01/2019 on the Beneficiaries of the Scholarship Schemes. </w:t>
            </w:r>
          </w:p>
          <w:p w14:paraId="14911E73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</w:p>
          <w:p w14:paraId="1E49E331" w14:textId="7936232D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Women and representatives of </w:t>
            </w:r>
            <w:r w:rsidR="006432D9" w:rsidRPr="006432D9">
              <w:rPr>
                <w:sz w:val="20"/>
                <w:szCs w:val="20"/>
              </w:rPr>
              <w:t xml:space="preserve">non-majority communities </w:t>
            </w:r>
            <w:r w:rsidRPr="00E34BC0">
              <w:rPr>
                <w:sz w:val="20"/>
                <w:szCs w:val="20"/>
              </w:rPr>
              <w:t xml:space="preserve">are strongly encouraged to apply. Application forms and the full set of accompanying documents will be available for download on internet at the following website: </w:t>
            </w:r>
            <w:hyperlink r:id="rId7" w:history="1">
              <w:r w:rsidR="005C1949" w:rsidRPr="00216B01">
                <w:rPr>
                  <w:rStyle w:val="Hyperlink"/>
                  <w:rFonts w:cs="Arial"/>
                  <w:b/>
                  <w:sz w:val="20"/>
                  <w:szCs w:val="20"/>
                </w:rPr>
                <w:t>https://ycskosovo.org</w:t>
              </w:r>
            </w:hyperlink>
            <w:r w:rsidR="005C194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4BC0">
              <w:rPr>
                <w:sz w:val="20"/>
                <w:szCs w:val="20"/>
              </w:rPr>
              <w:t xml:space="preserve">. Additional information on the scheme’s Rules, Procedures and Selections Criteria will also be published there. </w:t>
            </w:r>
          </w:p>
          <w:p w14:paraId="139D983C" w14:textId="77777777" w:rsidR="00841E3D" w:rsidRPr="00E34BC0" w:rsidRDefault="00841E3D" w:rsidP="00E34BC0">
            <w:pPr>
              <w:jc w:val="both"/>
              <w:rPr>
                <w:sz w:val="20"/>
                <w:szCs w:val="20"/>
              </w:rPr>
            </w:pPr>
          </w:p>
          <w:p w14:paraId="0EA52BE5" w14:textId="77777777" w:rsidR="00436C09" w:rsidRDefault="00841E3D" w:rsidP="00E34BC0">
            <w:pPr>
              <w:jc w:val="both"/>
              <w:rPr>
                <w:sz w:val="20"/>
                <w:szCs w:val="20"/>
              </w:rPr>
            </w:pPr>
            <w:r w:rsidRPr="00E34BC0">
              <w:rPr>
                <w:sz w:val="20"/>
                <w:szCs w:val="20"/>
              </w:rPr>
              <w:t xml:space="preserve">This is only a pre-notice of the opening for the call of applications to inform potential applicants of the forthcoming opening of the call itself. Applications are </w:t>
            </w:r>
            <w:r w:rsidRPr="00E34BC0">
              <w:rPr>
                <w:b/>
                <w:sz w:val="20"/>
                <w:szCs w:val="20"/>
              </w:rPr>
              <w:t>not</w:t>
            </w:r>
            <w:r w:rsidRPr="00E34BC0">
              <w:rPr>
                <w:sz w:val="20"/>
                <w:szCs w:val="20"/>
              </w:rPr>
              <w:t xml:space="preserve"> yet open.</w:t>
            </w:r>
          </w:p>
          <w:p w14:paraId="1FE5E993" w14:textId="49D05097" w:rsidR="00841E3D" w:rsidRPr="00E34BC0" w:rsidRDefault="00436C09" w:rsidP="00436C0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841E3D" w:rsidRPr="00E34BC0">
              <w:rPr>
                <w:sz w:val="20"/>
                <w:szCs w:val="20"/>
              </w:rPr>
              <w:t xml:space="preserve">For further information </w:t>
            </w:r>
            <w:hyperlink r:id="rId8" w:history="1">
              <w:r w:rsidR="005C1949" w:rsidRPr="00216B01">
                <w:rPr>
                  <w:rStyle w:val="Hyperlink"/>
                  <w:rFonts w:cs="Arial"/>
                  <w:b/>
                  <w:sz w:val="20"/>
                  <w:szCs w:val="20"/>
                </w:rPr>
                <w:t>https://ycskosovo.org</w:t>
              </w:r>
            </w:hyperlink>
          </w:p>
          <w:p w14:paraId="629F7BC2" w14:textId="77777777" w:rsidR="00841E3D" w:rsidRDefault="00841E3D" w:rsidP="00436C09">
            <w:pPr>
              <w:pStyle w:val="3after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14:paraId="6C02BFD7" w14:textId="1EEFAB4B" w:rsidR="0026777A" w:rsidRDefault="0026777A" w:rsidP="00D14A49">
            <w:pPr>
              <w:pStyle w:val="3after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26777A">
              <w:rPr>
                <w:sz w:val="20"/>
                <w:szCs w:val="20"/>
              </w:rPr>
              <w:t>Connect with YCS on Social Media:</w:t>
            </w:r>
            <w:r w:rsidRPr="0026777A">
              <w:rPr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Ind w:w="24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2246"/>
              <w:gridCol w:w="726"/>
              <w:gridCol w:w="2783"/>
            </w:tblGrid>
            <w:tr w:rsidR="00D14A49" w14:paraId="01AAB94B" w14:textId="77777777" w:rsidTr="00E47B83">
              <w:tc>
                <w:tcPr>
                  <w:tcW w:w="779" w:type="dxa"/>
                </w:tcPr>
                <w:p w14:paraId="46F63DD0" w14:textId="7AE6B8EB" w:rsidR="0026777A" w:rsidRDefault="00E47B83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26777A">
                    <w:rPr>
                      <w:noProof/>
                      <w:sz w:val="18"/>
                      <w:szCs w:val="18"/>
                      <w:lang w:val="sq-AL" w:eastAsia="sq-AL"/>
                    </w:rPr>
                    <w:drawing>
                      <wp:anchor distT="0" distB="0" distL="114300" distR="114300" simplePos="0" relativeHeight="251659264" behindDoc="0" locked="0" layoutInCell="1" allowOverlap="1" wp14:anchorId="07019980" wp14:editId="36E43530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12700</wp:posOffset>
                        </wp:positionV>
                        <wp:extent cx="482600" cy="482600"/>
                        <wp:effectExtent l="0" t="0" r="0" b="0"/>
                        <wp:wrapSquare wrapText="bothSides"/>
                        <wp:docPr id="17" name="Εικόνα 1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213EB55-CF80-0162-2979-11ECE7AB824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Εικόνα 16">
                                  <a:extLst>
                                    <a:ext uri="{FF2B5EF4-FFF2-40B4-BE49-F238E27FC236}">
                                      <a16:creationId xmlns:a16="http://schemas.microsoft.com/office/drawing/2014/main" id="{B213EB55-CF80-0162-2979-11ECE7AB82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6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46" w:type="dxa"/>
                </w:tcPr>
                <w:p w14:paraId="68AC7DCD" w14:textId="4DFAC5CF" w:rsidR="00D14A49" w:rsidRDefault="00D14A49" w:rsidP="0026777A">
                  <w:pPr>
                    <w:pStyle w:val="3after"/>
                    <w:numPr>
                      <w:ilvl w:val="0"/>
                      <w:numId w:val="0"/>
                    </w:numPr>
                    <w:spacing w:after="0"/>
                    <w:ind w:left="360" w:hanging="360"/>
                    <w:jc w:val="both"/>
                  </w:pPr>
                </w:p>
                <w:p w14:paraId="4ABE9A34" w14:textId="478A48F2" w:rsidR="0026777A" w:rsidRPr="0026777A" w:rsidRDefault="0026777A" w:rsidP="0026777A">
                  <w:pPr>
                    <w:pStyle w:val="3after"/>
                    <w:numPr>
                      <w:ilvl w:val="0"/>
                      <w:numId w:val="0"/>
                    </w:numPr>
                    <w:spacing w:after="0"/>
                    <w:ind w:left="360" w:hanging="360"/>
                    <w:jc w:val="both"/>
                  </w:pPr>
                  <w:r w:rsidRPr="0026777A">
                    <w:t>Young</w:t>
                  </w:r>
                  <w:r w:rsidR="00D14A49">
                    <w:t xml:space="preserve"> </w:t>
                  </w:r>
                  <w:r w:rsidRPr="0026777A">
                    <w:t>Cell</w:t>
                  </w:r>
                  <w:r w:rsidR="00D14A49">
                    <w:t xml:space="preserve"> S</w:t>
                  </w:r>
                  <w:r w:rsidRPr="0026777A">
                    <w:t>cheme</w:t>
                  </w:r>
                </w:p>
                <w:p w14:paraId="6FAE21D0" w14:textId="0AC198B0" w:rsidR="0026777A" w:rsidRDefault="0026777A" w:rsidP="0026777A">
                  <w:pPr>
                    <w:pStyle w:val="3after"/>
                    <w:numPr>
                      <w:ilvl w:val="0"/>
                      <w:numId w:val="0"/>
                    </w:numPr>
                    <w:spacing w:after="0"/>
                    <w:ind w:left="360" w:hanging="360"/>
                    <w:jc w:val="both"/>
                    <w:rPr>
                      <w:sz w:val="18"/>
                      <w:szCs w:val="18"/>
                    </w:rPr>
                  </w:pPr>
                  <w:r w:rsidRPr="0026777A">
                    <w:t xml:space="preserve">Scholarship </w:t>
                  </w:r>
                  <w:proofErr w:type="spellStart"/>
                  <w:r w:rsidRPr="0026777A">
                    <w:t>Programme</w:t>
                  </w:r>
                  <w:proofErr w:type="spellEnd"/>
                </w:p>
              </w:tc>
              <w:tc>
                <w:tcPr>
                  <w:tcW w:w="696" w:type="dxa"/>
                </w:tcPr>
                <w:p w14:paraId="06540CD2" w14:textId="3937EFD0" w:rsidR="0026777A" w:rsidRDefault="00E47B83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26777A">
                    <w:rPr>
                      <w:noProof/>
                      <w:sz w:val="18"/>
                      <w:szCs w:val="18"/>
                      <w:lang w:val="sq-AL" w:eastAsia="sq-AL"/>
                    </w:rPr>
                    <w:drawing>
                      <wp:anchor distT="0" distB="0" distL="114300" distR="114300" simplePos="0" relativeHeight="251660288" behindDoc="0" locked="0" layoutInCell="1" allowOverlap="1" wp14:anchorId="66F0D6F1" wp14:editId="78643BEE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90170</wp:posOffset>
                        </wp:positionV>
                        <wp:extent cx="317500" cy="317500"/>
                        <wp:effectExtent l="0" t="0" r="6350" b="6350"/>
                        <wp:wrapSquare wrapText="bothSides"/>
                        <wp:docPr id="15" name="Εικόνα 1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5670E5-9D58-6730-D625-49615E1D1ED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Εικόνα 14">
                                  <a:extLst>
                                    <a:ext uri="{FF2B5EF4-FFF2-40B4-BE49-F238E27FC236}">
                                      <a16:creationId xmlns:a16="http://schemas.microsoft.com/office/drawing/2014/main" id="{A45670E5-9D58-6730-D625-49615E1D1ED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83" w:type="dxa"/>
                </w:tcPr>
                <w:p w14:paraId="7E163278" w14:textId="2C256C9D" w:rsidR="00D14A49" w:rsidRDefault="00D14A49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</w:pPr>
                </w:p>
                <w:p w14:paraId="5A6FE20D" w14:textId="77777777" w:rsidR="00E47B83" w:rsidRPr="0026777A" w:rsidRDefault="00E47B83" w:rsidP="00E47B83">
                  <w:pPr>
                    <w:pStyle w:val="3after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lang w:val="el-GR"/>
                    </w:rPr>
                  </w:pPr>
                  <w:proofErr w:type="spellStart"/>
                  <w:r w:rsidRPr="0026777A">
                    <w:t>Young</w:t>
                  </w:r>
                  <w:r>
                    <w:t>c</w:t>
                  </w:r>
                  <w:r w:rsidRPr="0026777A">
                    <w:t>ell</w:t>
                  </w:r>
                  <w:r>
                    <w:t>s</w:t>
                  </w:r>
                  <w:r w:rsidRPr="0026777A">
                    <w:t>cheme</w:t>
                  </w:r>
                  <w:proofErr w:type="spellEnd"/>
                </w:p>
                <w:p w14:paraId="617C8943" w14:textId="0DFD9260" w:rsidR="0026777A" w:rsidRPr="00D14A49" w:rsidRDefault="0026777A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D14A49" w14:paraId="742F89E8" w14:textId="77777777" w:rsidTr="00E47B83">
              <w:trPr>
                <w:trHeight w:val="346"/>
              </w:trPr>
              <w:tc>
                <w:tcPr>
                  <w:tcW w:w="779" w:type="dxa"/>
                </w:tcPr>
                <w:p w14:paraId="0D931F95" w14:textId="00510A55" w:rsidR="0026777A" w:rsidRDefault="00E47B83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26777A">
                    <w:rPr>
                      <w:noProof/>
                      <w:sz w:val="18"/>
                      <w:szCs w:val="18"/>
                      <w:lang w:val="sq-AL" w:eastAsia="sq-AL"/>
                    </w:rPr>
                    <w:drawing>
                      <wp:anchor distT="0" distB="0" distL="114300" distR="114300" simplePos="0" relativeHeight="251658240" behindDoc="0" locked="0" layoutInCell="1" allowOverlap="1" wp14:anchorId="154D9A7B" wp14:editId="759C0166">
                        <wp:simplePos x="0" y="0"/>
                        <wp:positionH relativeFrom="column">
                          <wp:posOffset>155575</wp:posOffset>
                        </wp:positionH>
                        <wp:positionV relativeFrom="paragraph">
                          <wp:posOffset>69850</wp:posOffset>
                        </wp:positionV>
                        <wp:extent cx="330200" cy="278765"/>
                        <wp:effectExtent l="0" t="0" r="0" b="6985"/>
                        <wp:wrapSquare wrapText="bothSides"/>
                        <wp:docPr id="6" name="Θέση περιεχομένου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B5093DC-BFBD-9E3A-2F44-1EBB9C012893}"/>
                            </a:ext>
                          </a:extLst>
                        </wp:docPr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Θέση περιεχομένου 4">
                                  <a:extLst>
                                    <a:ext uri="{FF2B5EF4-FFF2-40B4-BE49-F238E27FC236}">
                                      <a16:creationId xmlns:a16="http://schemas.microsoft.com/office/drawing/2014/main" id="{9B5093DC-BFBD-9E3A-2F44-1EBB9C012893}"/>
                                    </a:ext>
                                  </a:extLst>
                                </pic:cNvPr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20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777A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246" w:type="dxa"/>
                </w:tcPr>
                <w:p w14:paraId="75FEF0A0" w14:textId="77777777" w:rsidR="0026777A" w:rsidRDefault="0026777A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</w:p>
                <w:p w14:paraId="602F467C" w14:textId="30CB6713" w:rsidR="0026777A" w:rsidRPr="00E47B83" w:rsidRDefault="00E47B83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</w:pPr>
                  <w:r w:rsidRPr="00E47B83">
                    <w:t>Young Cell Scheme</w:t>
                  </w:r>
                </w:p>
              </w:tc>
              <w:tc>
                <w:tcPr>
                  <w:tcW w:w="696" w:type="dxa"/>
                </w:tcPr>
                <w:p w14:paraId="10AFEC19" w14:textId="6B8B2DEA" w:rsidR="0026777A" w:rsidRDefault="00E47B83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26777A">
                    <w:rPr>
                      <w:noProof/>
                      <w:sz w:val="18"/>
                      <w:szCs w:val="18"/>
                      <w:lang w:val="sq-AL" w:eastAsia="sq-AL"/>
                    </w:rPr>
                    <w:drawing>
                      <wp:anchor distT="0" distB="0" distL="114300" distR="114300" simplePos="0" relativeHeight="251661312" behindDoc="0" locked="0" layoutInCell="1" allowOverlap="1" wp14:anchorId="0C0542A4" wp14:editId="778A378A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73025</wp:posOffset>
                        </wp:positionV>
                        <wp:extent cx="276225" cy="276225"/>
                        <wp:effectExtent l="0" t="0" r="9525" b="9525"/>
                        <wp:wrapSquare wrapText="bothSides"/>
                        <wp:docPr id="13" name="Εικόνα 1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8D4E404-3A27-85FE-A002-246A5CC49F86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Εικόνα 12">
                                  <a:extLst>
                                    <a:ext uri="{FF2B5EF4-FFF2-40B4-BE49-F238E27FC236}">
                                      <a16:creationId xmlns:a16="http://schemas.microsoft.com/office/drawing/2014/main" id="{A8D4E404-3A27-85FE-A002-246A5CC49F8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83" w:type="dxa"/>
                </w:tcPr>
                <w:p w14:paraId="1AEA8ECE" w14:textId="77777777" w:rsidR="0026777A" w:rsidRDefault="0026777A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</w:p>
                <w:p w14:paraId="480147E2" w14:textId="33753D11" w:rsidR="00E47B83" w:rsidRDefault="00E47B83" w:rsidP="0026777A">
                  <w:pPr>
                    <w:pStyle w:val="3after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E47B83">
                    <w:t>Young Cell Scheme</w:t>
                  </w:r>
                </w:p>
              </w:tc>
            </w:tr>
          </w:tbl>
          <w:p w14:paraId="5EBB533A" w14:textId="58F938BE" w:rsidR="0026777A" w:rsidRDefault="0026777A" w:rsidP="0026777A">
            <w:pPr>
              <w:pStyle w:val="3after"/>
              <w:numPr>
                <w:ilvl w:val="0"/>
                <w:numId w:val="0"/>
              </w:numPr>
              <w:ind w:left="360" w:hanging="360"/>
              <w:jc w:val="left"/>
              <w:rPr>
                <w:sz w:val="18"/>
                <w:szCs w:val="18"/>
              </w:rPr>
            </w:pPr>
          </w:p>
          <w:p w14:paraId="40E50A66" w14:textId="7209CB3B" w:rsidR="00380E4E" w:rsidRPr="00E34BC0" w:rsidRDefault="00380E4E" w:rsidP="00E34BC0">
            <w:pPr>
              <w:pStyle w:val="3after"/>
              <w:numPr>
                <w:ilvl w:val="0"/>
                <w:numId w:val="0"/>
              </w:numPr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14:paraId="6C25AA31" w14:textId="336C6FC4" w:rsidR="003C18B1" w:rsidRDefault="003C18B1" w:rsidP="00E34BC0"/>
    <w:p w14:paraId="474D7493" w14:textId="77777777" w:rsidR="00EC7E85" w:rsidRDefault="00EC7E85" w:rsidP="00E34BC0"/>
    <w:p w14:paraId="59C456E5" w14:textId="77777777" w:rsidR="00EC7E85" w:rsidRDefault="00EC7E85" w:rsidP="00E34BC0"/>
    <w:p w14:paraId="5672A5A7" w14:textId="0091DD95" w:rsidR="00CC2469" w:rsidRDefault="00CC2469" w:rsidP="00E34BC0"/>
    <w:p w14:paraId="76EE46DC" w14:textId="2E216CCC" w:rsidR="006E6A31" w:rsidRDefault="006E6A31" w:rsidP="00E34BC0"/>
    <w:p w14:paraId="53578B53" w14:textId="6088D85A" w:rsidR="006E6A31" w:rsidRDefault="006E6A31" w:rsidP="00E34BC0"/>
    <w:p w14:paraId="7CE0CF6E" w14:textId="5782ADE3" w:rsidR="006E6A31" w:rsidRDefault="006E6A31" w:rsidP="00E34BC0"/>
    <w:p w14:paraId="4B55D247" w14:textId="3670CE74" w:rsidR="006E6A31" w:rsidRDefault="006E6A31" w:rsidP="00E34BC0"/>
    <w:p w14:paraId="20ACF7C2" w14:textId="26A9891F" w:rsidR="006E6A31" w:rsidRDefault="006E6A31" w:rsidP="00E34BC0"/>
    <w:p w14:paraId="50FE3437" w14:textId="43260689" w:rsidR="006E6A31" w:rsidRDefault="006E6A31" w:rsidP="00E34BC0"/>
    <w:p w14:paraId="24D58678" w14:textId="77777777" w:rsidR="006E6A31" w:rsidRPr="003E019F" w:rsidRDefault="006E6A31" w:rsidP="00E34BC0"/>
    <w:sectPr w:rsidR="006E6A31" w:rsidRPr="003E019F" w:rsidSect="00E34B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8" w:right="1797" w:bottom="1276" w:left="17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66749" w14:textId="77777777" w:rsidR="008E04E9" w:rsidRDefault="008E04E9" w:rsidP="00E34BC0">
      <w:r>
        <w:separator/>
      </w:r>
    </w:p>
  </w:endnote>
  <w:endnote w:type="continuationSeparator" w:id="0">
    <w:p w14:paraId="511C8513" w14:textId="77777777" w:rsidR="008E04E9" w:rsidRDefault="008E04E9" w:rsidP="00E3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E15E" w14:textId="77777777" w:rsidR="00E34BC0" w:rsidRDefault="00E34BC0" w:rsidP="00E3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</w:tblCellMar>
      <w:tblLook w:val="04A0" w:firstRow="1" w:lastRow="0" w:firstColumn="1" w:lastColumn="0" w:noHBand="0" w:noVBand="1"/>
    </w:tblPr>
    <w:tblGrid>
      <w:gridCol w:w="3261"/>
      <w:gridCol w:w="5812"/>
      <w:gridCol w:w="2835"/>
    </w:tblGrid>
    <w:tr w:rsidR="00012F59" w:rsidRPr="00861364" w14:paraId="3733821C" w14:textId="77777777" w:rsidTr="00841E3D">
      <w:trPr>
        <w:trHeight w:val="365"/>
      </w:trPr>
      <w:tc>
        <w:tcPr>
          <w:tcW w:w="3261" w:type="dxa"/>
          <w:tcBorders>
            <w:top w:val="single" w:sz="24" w:space="0" w:color="047FC0"/>
          </w:tcBorders>
        </w:tcPr>
        <w:p w14:paraId="4B7F7EB0" w14:textId="66955A2F" w:rsidR="00012F59" w:rsidRDefault="00861364" w:rsidP="00E34BC0">
          <w:pPr>
            <w:pStyle w:val="Footer"/>
          </w:pPr>
          <w:r>
            <w:rPr>
              <w:noProof/>
              <w:lang w:val="sq-AL" w:eastAsia="sq-AL"/>
            </w:rPr>
            <w:drawing>
              <wp:inline distT="0" distB="0" distL="0" distR="0" wp14:anchorId="3B69F9B0" wp14:editId="0AB1B710">
                <wp:extent cx="1658117" cy="54000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Εικόνα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11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24" w:space="0" w:color="047FC0"/>
          </w:tcBorders>
        </w:tcPr>
        <w:p w14:paraId="436B72BC" w14:textId="38063FEA" w:rsidR="00012F59" w:rsidRPr="00E34BC0" w:rsidRDefault="00841E3D" w:rsidP="00E34BC0">
          <w:r w:rsidRPr="00E34BC0">
            <w:t xml:space="preserve">”Young Cell Scheme Rounds XIII-XIV-XV” is a scholarship project, co-funded by the EU and the Kosovo Government, managed by EU Office in Kosovo and implemented by the Consortium of Aristotle University of Thessaloniki and the </w:t>
          </w:r>
          <w:proofErr w:type="spellStart"/>
          <w:r w:rsidRPr="00E34BC0">
            <w:t>Institut</w:t>
          </w:r>
          <w:proofErr w:type="spellEnd"/>
          <w:r w:rsidRPr="00E34BC0">
            <w:t xml:space="preserve"> national du service public, France.</w:t>
          </w:r>
        </w:p>
      </w:tc>
      <w:tc>
        <w:tcPr>
          <w:tcW w:w="2835" w:type="dxa"/>
          <w:tcBorders>
            <w:top w:val="single" w:sz="24" w:space="0" w:color="047FC0"/>
          </w:tcBorders>
        </w:tcPr>
        <w:p w14:paraId="752C1521" w14:textId="5EC88933" w:rsidR="00012F59" w:rsidRPr="00861364" w:rsidRDefault="00861364" w:rsidP="00E34BC0">
          <w:pPr>
            <w:pStyle w:val="Footer"/>
            <w:jc w:val="right"/>
          </w:pPr>
          <w:r>
            <w:rPr>
              <w:noProof/>
              <w:lang w:val="sq-AL" w:eastAsia="sq-AL"/>
            </w:rPr>
            <w:drawing>
              <wp:inline distT="0" distB="0" distL="0" distR="0" wp14:anchorId="4E443FB2" wp14:editId="2B4C6529">
                <wp:extent cx="873158" cy="5400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5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36682B" w14:textId="27F24250" w:rsidR="00EC7E85" w:rsidRPr="00861364" w:rsidRDefault="00EC7E85" w:rsidP="00E3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9AD9" w14:textId="77777777" w:rsidR="00E34BC0" w:rsidRDefault="00E34BC0" w:rsidP="00E3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E9DA" w14:textId="77777777" w:rsidR="008E04E9" w:rsidRDefault="008E04E9" w:rsidP="00E34BC0">
      <w:r>
        <w:separator/>
      </w:r>
    </w:p>
  </w:footnote>
  <w:footnote w:type="continuationSeparator" w:id="0">
    <w:p w14:paraId="49620A6D" w14:textId="77777777" w:rsidR="008E04E9" w:rsidRDefault="008E04E9" w:rsidP="00E3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A51F" w14:textId="77777777" w:rsidR="00E34BC0" w:rsidRDefault="00E34BC0" w:rsidP="00E3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83" w:type="dxa"/>
      <w:tblInd w:w="-15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170" w:type="dxa"/>
      </w:tblCellMar>
      <w:tblLook w:val="04A0" w:firstRow="1" w:lastRow="0" w:firstColumn="1" w:lastColumn="0" w:noHBand="0" w:noVBand="1"/>
    </w:tblPr>
    <w:tblGrid>
      <w:gridCol w:w="3827"/>
      <w:gridCol w:w="3828"/>
      <w:gridCol w:w="3828"/>
    </w:tblGrid>
    <w:tr w:rsidR="00ED4618" w14:paraId="25689BCD" w14:textId="77777777" w:rsidTr="00861364">
      <w:trPr>
        <w:trHeight w:val="1928"/>
      </w:trPr>
      <w:tc>
        <w:tcPr>
          <w:tcW w:w="3827" w:type="dxa"/>
          <w:tcBorders>
            <w:bottom w:val="single" w:sz="24" w:space="0" w:color="047FC0"/>
          </w:tcBorders>
        </w:tcPr>
        <w:p w14:paraId="70C61933" w14:textId="2E17A969" w:rsidR="00ED4618" w:rsidRDefault="00841E3D" w:rsidP="00E34BC0">
          <w:pPr>
            <w:pStyle w:val="Header"/>
          </w:pPr>
          <w:r>
            <w:rPr>
              <w:noProof/>
              <w:lang w:val="sq-AL" w:eastAsia="sq-AL"/>
            </w:rPr>
            <w:drawing>
              <wp:inline distT="0" distB="0" distL="0" distR="0" wp14:anchorId="5CCAF570" wp14:editId="7136B0C9">
                <wp:extent cx="2258171" cy="474649"/>
                <wp:effectExtent l="0" t="0" r="0" b="1905"/>
                <wp:docPr id="1" name="Picture 1" descr="Download centre for visual elements - Regional Policy - European Commis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centre for visual elements - Regional Policy - European Commis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177" cy="488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24" w:space="0" w:color="047FC0"/>
          </w:tcBorders>
          <w:vAlign w:val="bottom"/>
        </w:tcPr>
        <w:p w14:paraId="7AC1A4F9" w14:textId="482F81DA" w:rsidR="00ED4618" w:rsidRDefault="00EC7E85" w:rsidP="00E34BC0">
          <w:pPr>
            <w:pStyle w:val="Header"/>
          </w:pPr>
          <w:r>
            <w:rPr>
              <w:noProof/>
              <w:lang w:val="sq-AL" w:eastAsia="sq-AL"/>
            </w:rPr>
            <w:drawing>
              <wp:inline distT="0" distB="0" distL="0" distR="0" wp14:anchorId="61956AF3" wp14:editId="3C34D58D">
                <wp:extent cx="1800000" cy="940687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94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24" w:space="0" w:color="047FC0"/>
          </w:tcBorders>
        </w:tcPr>
        <w:p w14:paraId="71E2D093" w14:textId="6FEDDF46" w:rsidR="00ED4618" w:rsidRDefault="00EC7E85" w:rsidP="00E34BC0">
          <w:pPr>
            <w:pStyle w:val="Header"/>
          </w:pPr>
          <w:r>
            <w:rPr>
              <w:noProof/>
              <w:lang w:val="sq-AL" w:eastAsia="sq-AL"/>
            </w:rPr>
            <w:drawing>
              <wp:anchor distT="0" distB="0" distL="114300" distR="114300" simplePos="0" relativeHeight="251658240" behindDoc="0" locked="0" layoutInCell="1" allowOverlap="1" wp14:anchorId="139B6EBA" wp14:editId="5AA53B45">
                <wp:simplePos x="0" y="0"/>
                <wp:positionH relativeFrom="column">
                  <wp:posOffset>1678305</wp:posOffset>
                </wp:positionH>
                <wp:positionV relativeFrom="paragraph">
                  <wp:posOffset>-4445</wp:posOffset>
                </wp:positionV>
                <wp:extent cx="489600" cy="540000"/>
                <wp:effectExtent l="0" t="0" r="5715" b="0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0F3DF6" w14:textId="3EE14A2A" w:rsidR="002867F9" w:rsidRDefault="002867F9" w:rsidP="00E3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2318" w14:textId="77777777" w:rsidR="00E34BC0" w:rsidRDefault="00E34BC0" w:rsidP="00E3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979"/>
    <w:multiLevelType w:val="hybridMultilevel"/>
    <w:tmpl w:val="F0347DC4"/>
    <w:lvl w:ilvl="0" w:tplc="42B214F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262C9C">
      <w:numFmt w:val="bullet"/>
      <w:lvlText w:val="·"/>
      <w:lvlJc w:val="left"/>
      <w:pPr>
        <w:ind w:left="2370" w:hanging="57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53914"/>
    <w:multiLevelType w:val="hybridMultilevel"/>
    <w:tmpl w:val="639248F6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1962"/>
    <w:multiLevelType w:val="hybridMultilevel"/>
    <w:tmpl w:val="E39C8B18"/>
    <w:lvl w:ilvl="0" w:tplc="42B214F8">
      <w:start w:val="1"/>
      <w:numFmt w:val="bullet"/>
      <w:lvlText w:val="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DF13A3"/>
    <w:multiLevelType w:val="hybridMultilevel"/>
    <w:tmpl w:val="25FE0F6A"/>
    <w:lvl w:ilvl="0" w:tplc="42B214F8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2B214F8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C704E"/>
    <w:multiLevelType w:val="hybridMultilevel"/>
    <w:tmpl w:val="4DD2BFD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632"/>
    <w:multiLevelType w:val="hybridMultilevel"/>
    <w:tmpl w:val="17186758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147"/>
    <w:multiLevelType w:val="hybridMultilevel"/>
    <w:tmpl w:val="A1D4F24E"/>
    <w:lvl w:ilvl="0" w:tplc="6C1274C2">
      <w:start w:val="1"/>
      <w:numFmt w:val="bullet"/>
      <w:pStyle w:val="3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408D5"/>
    <w:multiLevelType w:val="hybridMultilevel"/>
    <w:tmpl w:val="28E2F3E2"/>
    <w:lvl w:ilvl="0" w:tplc="42B214F8">
      <w:start w:val="1"/>
      <w:numFmt w:val="bullet"/>
      <w:lvlText w:val=""/>
      <w:lvlJc w:val="left"/>
      <w:pPr>
        <w:ind w:left="18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26AD0"/>
    <w:rsid w:val="0000073F"/>
    <w:rsid w:val="00004D4F"/>
    <w:rsid w:val="00012F59"/>
    <w:rsid w:val="000234EB"/>
    <w:rsid w:val="000A7925"/>
    <w:rsid w:val="000E233A"/>
    <w:rsid w:val="00112F9A"/>
    <w:rsid w:val="00183090"/>
    <w:rsid w:val="001A2B65"/>
    <w:rsid w:val="001C5739"/>
    <w:rsid w:val="0026777A"/>
    <w:rsid w:val="002867F9"/>
    <w:rsid w:val="00330342"/>
    <w:rsid w:val="00370023"/>
    <w:rsid w:val="00380E4E"/>
    <w:rsid w:val="003C18B1"/>
    <w:rsid w:val="003E019F"/>
    <w:rsid w:val="00430F48"/>
    <w:rsid w:val="00436C09"/>
    <w:rsid w:val="00463304"/>
    <w:rsid w:val="00466C34"/>
    <w:rsid w:val="004E21F7"/>
    <w:rsid w:val="004F5F4C"/>
    <w:rsid w:val="00596462"/>
    <w:rsid w:val="005C1949"/>
    <w:rsid w:val="005F2644"/>
    <w:rsid w:val="00636A42"/>
    <w:rsid w:val="006432D9"/>
    <w:rsid w:val="00652368"/>
    <w:rsid w:val="00664475"/>
    <w:rsid w:val="006A53D2"/>
    <w:rsid w:val="006E6A31"/>
    <w:rsid w:val="00797837"/>
    <w:rsid w:val="008236ED"/>
    <w:rsid w:val="00841E3D"/>
    <w:rsid w:val="00861364"/>
    <w:rsid w:val="008A7F3D"/>
    <w:rsid w:val="008D7BAE"/>
    <w:rsid w:val="008E0219"/>
    <w:rsid w:val="008E04E9"/>
    <w:rsid w:val="00905A79"/>
    <w:rsid w:val="00920CFB"/>
    <w:rsid w:val="009317AF"/>
    <w:rsid w:val="00934DC0"/>
    <w:rsid w:val="009F07FB"/>
    <w:rsid w:val="00A0442A"/>
    <w:rsid w:val="00A052A3"/>
    <w:rsid w:val="00A24284"/>
    <w:rsid w:val="00A725F7"/>
    <w:rsid w:val="00A77DB2"/>
    <w:rsid w:val="00AA5A55"/>
    <w:rsid w:val="00B92037"/>
    <w:rsid w:val="00BE237D"/>
    <w:rsid w:val="00C661C7"/>
    <w:rsid w:val="00C71EB0"/>
    <w:rsid w:val="00CC2469"/>
    <w:rsid w:val="00D14A49"/>
    <w:rsid w:val="00D21D02"/>
    <w:rsid w:val="00D31F95"/>
    <w:rsid w:val="00D40D85"/>
    <w:rsid w:val="00D46FA4"/>
    <w:rsid w:val="00D724C3"/>
    <w:rsid w:val="00D97351"/>
    <w:rsid w:val="00DB6510"/>
    <w:rsid w:val="00DC639B"/>
    <w:rsid w:val="00E34BC0"/>
    <w:rsid w:val="00E47B83"/>
    <w:rsid w:val="00EB33AB"/>
    <w:rsid w:val="00EC7E85"/>
    <w:rsid w:val="00ED4618"/>
    <w:rsid w:val="00F118A3"/>
    <w:rsid w:val="00F26AD0"/>
    <w:rsid w:val="00F80BAD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FF49D"/>
  <w15:chartTrackingRefBased/>
  <w15:docId w15:val="{48660E3C-EB7D-491D-BE10-D0B33B8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34BC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MS Mincho" w:hAnsi="Arial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F9"/>
  </w:style>
  <w:style w:type="paragraph" w:styleId="Footer">
    <w:name w:val="footer"/>
    <w:basedOn w:val="Normal"/>
    <w:link w:val="FooterChar"/>
    <w:uiPriority w:val="99"/>
    <w:unhideWhenUsed/>
    <w:rsid w:val="00286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F9"/>
  </w:style>
  <w:style w:type="table" w:styleId="TableGrid">
    <w:name w:val="Table Grid"/>
    <w:basedOn w:val="TableNormal"/>
    <w:uiPriority w:val="39"/>
    <w:rsid w:val="00ED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F59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12F59"/>
    <w:rPr>
      <w:color w:val="605E5C"/>
      <w:shd w:val="clear" w:color="auto" w:fill="E1DFDD"/>
    </w:rPr>
  </w:style>
  <w:style w:type="paragraph" w:customStyle="1" w:styleId="3after">
    <w:name w:val="3after"/>
    <w:basedOn w:val="Normal"/>
    <w:rsid w:val="00841E3D"/>
    <w:pPr>
      <w:numPr>
        <w:numId w:val="1"/>
      </w:numPr>
      <w:spacing w:after="60"/>
    </w:pPr>
  </w:style>
  <w:style w:type="paragraph" w:styleId="ListParagraph">
    <w:name w:val="List Paragraph"/>
    <w:basedOn w:val="Normal"/>
    <w:uiPriority w:val="34"/>
    <w:qFormat/>
    <w:rsid w:val="00841E3D"/>
    <w:pPr>
      <w:spacing w:after="240"/>
      <w:ind w:left="720"/>
      <w:contextualSpacing/>
    </w:pPr>
    <w:rPr>
      <w:rFonts w:eastAsia="Times New Roman" w:cs="Arial"/>
      <w:color w:val="212121"/>
      <w:szCs w:val="23"/>
      <w:lang w:eastAsia="it-IT"/>
    </w:rPr>
  </w:style>
  <w:style w:type="paragraph" w:customStyle="1" w:styleId="m-8700661875963340098msolistparagraph">
    <w:name w:val="m_-8700661875963340098msolistparagraph"/>
    <w:basedOn w:val="Normal"/>
    <w:rsid w:val="008D7BAE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cskosovo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cskosovo.org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Pagkalos</dc:creator>
  <cp:keywords/>
  <dc:description/>
  <cp:lastModifiedBy>Windows User</cp:lastModifiedBy>
  <cp:revision>2</cp:revision>
  <cp:lastPrinted>2022-10-05T14:05:00Z</cp:lastPrinted>
  <dcterms:created xsi:type="dcterms:W3CDTF">2022-11-11T13:01:00Z</dcterms:created>
  <dcterms:modified xsi:type="dcterms:W3CDTF">2022-11-11T13:01:00Z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4871794c3c60622d5205b2256e51c457436992c99d350e3959b15ba2f0161774</vt:lpwstr>
  </property>
</Properties>
</file>